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EE" w:rsidRPr="00205C05" w:rsidRDefault="00FD66EE" w:rsidP="00FD66EE">
      <w:pPr>
        <w:spacing w:after="0" w:line="240" w:lineRule="auto"/>
        <w:ind w:firstLine="357"/>
        <w:jc w:val="right"/>
        <w:rPr>
          <w:rFonts w:ascii="Arial Unicode MS" w:eastAsia="Arial Unicode MS" w:hAnsi="Arial Unicode MS" w:cs="Arial Unicode MS"/>
          <w:i/>
          <w:iCs/>
          <w:sz w:val="12"/>
          <w:szCs w:val="12"/>
        </w:rPr>
      </w:pPr>
      <w:r w:rsidRPr="00205C05">
        <w:rPr>
          <w:rFonts w:ascii="Arial Unicode MS" w:eastAsia="Arial Unicode MS" w:hAnsi="Arial Unicode MS" w:cs="Arial Unicode MS"/>
          <w:i/>
          <w:iCs/>
          <w:sz w:val="12"/>
          <w:szCs w:val="12"/>
        </w:rPr>
        <w:t>Załącznik numer 4</w:t>
      </w:r>
    </w:p>
    <w:p w:rsidR="00FD66EE" w:rsidRPr="00205C05" w:rsidRDefault="00FD66EE" w:rsidP="00FD66EE">
      <w:pPr>
        <w:spacing w:after="0" w:line="240" w:lineRule="auto"/>
        <w:ind w:firstLine="357"/>
        <w:jc w:val="right"/>
        <w:rPr>
          <w:rFonts w:ascii="Arial Unicode MS" w:eastAsia="Arial Unicode MS" w:hAnsi="Arial Unicode MS" w:cs="Arial Unicode MS"/>
          <w:i/>
          <w:iCs/>
          <w:sz w:val="12"/>
          <w:szCs w:val="12"/>
        </w:rPr>
      </w:pPr>
      <w:r w:rsidRPr="00205C05">
        <w:rPr>
          <w:rFonts w:ascii="Arial Unicode MS" w:eastAsia="Arial Unicode MS" w:hAnsi="Arial Unicode MS" w:cs="Arial Unicode MS"/>
          <w:i/>
          <w:iCs/>
          <w:sz w:val="12"/>
          <w:szCs w:val="12"/>
        </w:rPr>
        <w:t>do Regulaminu monitoringu wizyjnego</w:t>
      </w:r>
    </w:p>
    <w:p w:rsidR="00FD66EE" w:rsidRPr="00205C05" w:rsidRDefault="00FD66EE" w:rsidP="00FD66EE">
      <w:pPr>
        <w:spacing w:after="0" w:line="240" w:lineRule="auto"/>
        <w:ind w:firstLine="357"/>
        <w:jc w:val="right"/>
        <w:rPr>
          <w:rFonts w:ascii="Arial Unicode MS" w:eastAsia="Arial Unicode MS" w:hAnsi="Arial Unicode MS" w:cs="Arial Unicode MS"/>
          <w:i/>
          <w:iCs/>
          <w:sz w:val="12"/>
          <w:szCs w:val="12"/>
        </w:rPr>
      </w:pPr>
      <w:r w:rsidRPr="00205C05">
        <w:rPr>
          <w:rFonts w:ascii="Arial Unicode MS" w:eastAsia="Arial Unicode MS" w:hAnsi="Arial Unicode MS" w:cs="Arial Unicode MS"/>
          <w:i/>
          <w:iCs/>
          <w:sz w:val="12"/>
          <w:szCs w:val="12"/>
        </w:rPr>
        <w:t>w Szkole Podstawowej im. Szybowników Polskich</w:t>
      </w:r>
      <w:r w:rsidRPr="00205C05">
        <w:rPr>
          <w:rFonts w:ascii="Arial Unicode MS" w:eastAsia="Arial Unicode MS" w:hAnsi="Arial Unicode MS" w:cs="Arial Unicode MS"/>
          <w:i/>
          <w:iCs/>
          <w:sz w:val="12"/>
          <w:szCs w:val="12"/>
        </w:rPr>
        <w:br/>
        <w:t>w Bezmiechowej Dolnej</w:t>
      </w:r>
    </w:p>
    <w:p w:rsidR="00FD66EE" w:rsidRPr="00205C05" w:rsidRDefault="00FD66EE" w:rsidP="00FD66EE">
      <w:pPr>
        <w:spacing w:after="0" w:line="240" w:lineRule="auto"/>
        <w:ind w:firstLine="357"/>
        <w:jc w:val="right"/>
        <w:rPr>
          <w:rFonts w:ascii="Arial Unicode MS" w:eastAsia="Arial Unicode MS" w:hAnsi="Arial Unicode MS" w:cs="Arial Unicode MS"/>
          <w:i/>
          <w:iCs/>
          <w:sz w:val="12"/>
          <w:szCs w:val="12"/>
        </w:rPr>
      </w:pPr>
      <w:r>
        <w:rPr>
          <w:rFonts w:ascii="Arial Unicode MS" w:eastAsia="Arial Unicode MS" w:hAnsi="Arial Unicode MS" w:cs="Arial Unicode MS"/>
          <w:i/>
          <w:iCs/>
          <w:sz w:val="12"/>
          <w:szCs w:val="12"/>
        </w:rPr>
        <w:t>Z dnia 15.04.2026</w:t>
      </w:r>
      <w:r w:rsidRPr="00205C05">
        <w:rPr>
          <w:rFonts w:ascii="Arial Unicode MS" w:eastAsia="Arial Unicode MS" w:hAnsi="Arial Unicode MS" w:cs="Arial Unicode MS"/>
          <w:i/>
          <w:iCs/>
          <w:sz w:val="12"/>
          <w:szCs w:val="12"/>
        </w:rPr>
        <w:t> r.</w:t>
      </w:r>
    </w:p>
    <w:p w:rsidR="00FD66EE" w:rsidRPr="00E535AC" w:rsidRDefault="00FD66EE" w:rsidP="00FD66EE">
      <w:pPr>
        <w:pStyle w:val="RozdziaR"/>
        <w:spacing w:before="0" w:after="0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KLAUZULA INFORMACYJNA</w:t>
      </w:r>
      <w:r w:rsidRPr="00E535AC">
        <w:rPr>
          <w:sz w:val="20"/>
          <w:szCs w:val="20"/>
        </w:rPr>
        <w:t xml:space="preserve"> O MONITORINGU WIZYJNYM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2700"/>
        <w:gridCol w:w="7081"/>
      </w:tblGrid>
      <w:tr w:rsidR="00FD66EE" w:rsidRPr="00884949" w:rsidTr="00FD66EE">
        <w:trPr>
          <w:trHeight w:val="486"/>
        </w:trPr>
        <w:tc>
          <w:tcPr>
            <w:tcW w:w="9781" w:type="dxa"/>
            <w:gridSpan w:val="2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INFORMACJA O ZASADACH PROWADZENIA ORAZ PRZETWARZANIA DANYCH OSOBOWYCH MONITORINGU WIZYJNEGO</w:t>
            </w:r>
          </w:p>
        </w:tc>
      </w:tr>
      <w:tr w:rsidR="00FD66EE" w:rsidRPr="00AF2959" w:rsidTr="00FD66EE">
        <w:trPr>
          <w:trHeight w:val="657"/>
        </w:trPr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TOŻSAMOŚĆ ADMINISTRATORA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 xml:space="preserve">Szkoła Podstawowa </w:t>
            </w:r>
            <w:r w:rsidRPr="00621EA6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im. Szybowników Polskich w Bezmiechowej Dolnej</w:t>
            </w: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 xml:space="preserve"> </w:t>
            </w:r>
            <w:r w:rsidRPr="00AF2959"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 xml:space="preserve">z siedzibą pod adresem </w:t>
            </w:r>
            <w:r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>Bezmiechowa Dolna 215, 38-600 Lesko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 xml:space="preserve">. </w:t>
            </w:r>
            <w:r w:rsidRPr="00AF2959"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 xml:space="preserve">Numer telefonu: </w:t>
            </w: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13 469-64-61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 xml:space="preserve">, </w:t>
            </w:r>
            <w:r w:rsidRPr="00AF2959"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>adres email:</w:t>
            </w:r>
            <w:r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 xml:space="preserve"> </w:t>
            </w:r>
            <w:r>
              <w:t xml:space="preserve"> </w:t>
            </w:r>
            <w:r w:rsidRPr="00AF2959">
              <w:rPr>
                <w:rFonts w:ascii="Arial Unicode MS" w:eastAsia="Arial Unicode MS" w:hAnsi="Arial Unicode MS" w:cs="Arial Unicode MS"/>
                <w:bCs/>
                <w:sz w:val="12"/>
                <w:szCs w:val="12"/>
                <w:lang w:eastAsia="pl-PL"/>
              </w:rPr>
              <w:t xml:space="preserve">W imieniu Szkoły obowiązki administratora sprawuje 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 xml:space="preserve">Dyrektor. 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INSPEKTOR OCHRONY DANYCH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Administrator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powołał I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nspektora 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O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chrony 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D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anych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Osobowych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. Imię i nazwisko: </w:t>
            </w: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Daniel Panek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.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Adres email: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iod@lesko.pl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CELE PRZETWARZANIA I PODSTAWY PRAWNE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sz w:val="12"/>
                <w:szCs w:val="12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Dane osobowe będą przetwarzane w następujących 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celu:</w:t>
            </w:r>
          </w:p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- zapewnienia bezpieczeństwa uczniów i pracowników szkoły oraz innych osób przybywających na jej terenie; </w:t>
            </w:r>
          </w:p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ochrony mienia Szkoły, jej pracowników, uczniów oraz gości;</w:t>
            </w:r>
          </w:p>
          <w:p w:rsidR="00FD66EE" w:rsidRPr="00AF2959" w:rsidRDefault="00FD66EE" w:rsidP="00287C9E">
            <w:pPr>
              <w:shd w:val="clear" w:color="auto" w:fill="FFFFFF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- ochrony poufności informacji, których ujawnienie mogłoby narazić 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administratora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na szkodę.</w:t>
            </w:r>
          </w:p>
          <w:p w:rsidR="00FD66EE" w:rsidRPr="00AF2959" w:rsidRDefault="00FD66EE" w:rsidP="00287C9E">
            <w:pPr>
              <w:shd w:val="clear" w:color="auto" w:fill="FFFFFF"/>
              <w:spacing w:before="120"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Podstawę prawną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przetwarzania danych osobowych przez monitoring wizyjny stanowi art. 6 ust. 1 lit. f) Ogólnego rozporządzenia o ochronie danych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, 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 art. 22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vertAlign w:val="superscript"/>
                <w:lang w:eastAsia="pl-PL"/>
              </w:rPr>
              <w:t>2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Ustawy z dnia 26 czerwca 1974 r. Kodeks pracy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, 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art. 108a Ustawy z dnia 14 grudnia 2016 r. Prawo oświatowe.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OBSZAR I CZAS MONITOROWANIA</w:t>
            </w:r>
          </w:p>
        </w:tc>
        <w:tc>
          <w:tcPr>
            <w:tcW w:w="7081" w:type="dxa"/>
            <w:vAlign w:val="center"/>
          </w:tcPr>
          <w:p w:rsidR="00FD66EE" w:rsidRPr="001E5F4B" w:rsidRDefault="00FD66EE" w:rsidP="00287C9E">
            <w:pPr>
              <w:shd w:val="clear" w:color="auto" w:fill="FFFFFF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eastAsia="pl-PL"/>
              </w:rPr>
            </w:pPr>
            <w:r w:rsidRPr="001E5F4B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Monitoring jest prowadzony na o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bszar tylnej części budynku Szkoły.</w:t>
            </w:r>
          </w:p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Obszar objęty monitoringiem wizyjnym został oznaczony tabliczkami informacyjnymi zawierającymi co najmniej napis </w:t>
            </w:r>
            <w:r w:rsidRPr="00AF2959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eastAsia="pl-PL"/>
              </w:rPr>
              <w:t>„UWAGA: OBIEKT MONITOROWANY”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oraz </w:t>
            </w:r>
            <w:r w:rsidRPr="00AF2959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eastAsia="pl-PL"/>
              </w:rPr>
              <w:t>piktogram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z wizerunkiem kamery.</w:t>
            </w:r>
          </w:p>
          <w:p w:rsidR="00FD66EE" w:rsidRPr="00AF2959" w:rsidRDefault="00FD66EE" w:rsidP="00287C9E">
            <w:pPr>
              <w:shd w:val="clear" w:color="auto" w:fill="FFFFFF"/>
              <w:spacing w:before="120"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Monitoring wizyjny funkcjonuje </w:t>
            </w:r>
            <w:r w:rsidRPr="00AF2959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eastAsia="pl-PL"/>
              </w:rPr>
              <w:t>w czasie całego roku kalendarzowego, nieprzerwanie, przez całą dobę.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sz w:val="10"/>
                <w:szCs w:val="10"/>
                <w:lang w:eastAsia="pl-PL"/>
              </w:rPr>
              <w:t>ODBIORCY DANYCH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Dane osobowe mogą zostać przekazane podmiotom, którym Szkoła powierzyła zadanie zdalnej obsługi infrastruktury służącej do prowadzenia monitoringu wizyjnego, podmiotom zapewniającym obsługę techniczną tych urządzeń w zakresie jej serwisowania oraz podmiotom uprawnionym do tego na podstawie przepisów prawa, w szczególności organom władzy publicznej lub osobom trzecim realizującym cele wynikające z ich prawnie uzasadnionych interesów. 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OKRES PRZECHOWYWANIA DANYCH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Dane osobowe przechowywane będą maksymalnie przez </w:t>
            </w:r>
            <w:r w:rsidRPr="00AF2959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eastAsia="pl-PL"/>
              </w:rPr>
              <w:t>trzy miesiące -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po tym okresie zostaną trwale usunięte lub nadpisane. Jeżeli nagrania z monitoringu wizyjnego stanowią dowód w postępowaniu prowadzonym na podstawie prawa lub Administrator powziął wiadomość, iż mogą one stanowić dowód w postępowaniu, 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powyższy termin 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ulega przedłużeniu do czasu prawomocnego zakończenia postępowania.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PRAWA PODMIOTÓW DANYCH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Na warunkach Ogólnego rozporządzenia o ochronie danych (RODO) podmiotom danych przysługują następujące prawa: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dostępu do treści swoich danych (art. 15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 sprostowania danych (art. 16.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 usunięcia danych (art. 17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 ograniczenia przetwarzania danych (art. 18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 przenoszenia danych (art. 20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do wniesienia sprzeciwu wobec przetwarzania danych (art. 21 RODO);</w:t>
            </w:r>
          </w:p>
          <w:p w:rsidR="00FD66EE" w:rsidRPr="00AF2959" w:rsidRDefault="00FD66EE" w:rsidP="00FD66EE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- prawo do niepodlegania procesom zautomatyzowanego podejmowania decyzji, w tym profilowania (art. 22 RODO).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PRAWO WNIESIENIA SKARGI DO ORGANU NADZORCZEGO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Podmiotom danych przysługuje prawo wniesienia skargi do organu nadzorczego zajmującego się ochroną danych osobowych w państwie członkowskim ich zwykłego pobytu, miejsca pracy lub miejsca popełnienia domniemanego naruszenia.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Polskim organem nadzoru jest </w:t>
            </w:r>
            <w:r w:rsidRPr="00AF2959">
              <w:rPr>
                <w:rFonts w:ascii="Arial Unicode MS" w:eastAsia="Arial Unicode MS" w:hAnsi="Arial Unicode MS" w:cs="Arial Unicode MS"/>
                <w:b/>
                <w:sz w:val="12"/>
                <w:szCs w:val="12"/>
                <w:lang w:eastAsia="pl-PL"/>
              </w:rPr>
              <w:t>Prezes Urzędu Ochrony Danych Osobowych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</w:t>
            </w:r>
          </w:p>
        </w:tc>
      </w:tr>
      <w:tr w:rsidR="00FD66EE" w:rsidRPr="00AF2959" w:rsidTr="00FD66EE">
        <w:trPr>
          <w:trHeight w:val="553"/>
        </w:trPr>
        <w:tc>
          <w:tcPr>
            <w:tcW w:w="2700" w:type="dxa"/>
            <w:vAlign w:val="center"/>
          </w:tcPr>
          <w:p w:rsidR="00FD66EE" w:rsidRPr="002063C0" w:rsidRDefault="00FD66EE" w:rsidP="00287C9E">
            <w:pPr>
              <w:shd w:val="clear" w:color="auto" w:fill="FFFFFF"/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ŹRÓDŁO POCHODZENIA DANYCH OSOBOWYCH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Dane osobowe pochodzą z nagrań zarejestrowanych przez monitoring wizyjny.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INFORMACJA O DOWOLNOŚCI LUB OBOWIĄZKU PODANIA DANYCH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Podanie danych osobowych jest niezależne od woli osoby, której te dane dotyczą. Osoba przebywająca na terenie Szkoły nie posiada realnej możliwości odmowy podania danych osobowych, ilekroć znajduje się w obszarze objętym monitoringiem.</w:t>
            </w:r>
            <w:r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 xml:space="preserve"> </w:t>
            </w: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Szkoła może prowadzić monitoring bez konieczności uprzedniego uzyskania zgody osób znajdujących się w zasięgu rejestracji obrazu.</w:t>
            </w:r>
          </w:p>
        </w:tc>
      </w:tr>
      <w:tr w:rsidR="00FD66EE" w:rsidRPr="00AF2959" w:rsidTr="00FD66EE">
        <w:tc>
          <w:tcPr>
            <w:tcW w:w="2700" w:type="dxa"/>
            <w:vAlign w:val="center"/>
          </w:tcPr>
          <w:p w:rsidR="00FD66EE" w:rsidRPr="002063C0" w:rsidRDefault="00FD66EE" w:rsidP="00287C9E">
            <w:pPr>
              <w:spacing w:before="240" w:after="24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</w:pPr>
            <w:r w:rsidRPr="002063C0"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  <w:lang w:eastAsia="pl-PL"/>
              </w:rPr>
              <w:t>INFORMACJA O ZAUTOMATYZOWANYM PODEJMOWANIU DECYZJI ORAZ PROFILOWANIU</w:t>
            </w:r>
          </w:p>
        </w:tc>
        <w:tc>
          <w:tcPr>
            <w:tcW w:w="7081" w:type="dxa"/>
            <w:vAlign w:val="center"/>
          </w:tcPr>
          <w:p w:rsidR="00FD66EE" w:rsidRPr="00AF2959" w:rsidRDefault="00FD66EE" w:rsidP="00287C9E">
            <w:pPr>
              <w:shd w:val="clear" w:color="auto" w:fill="FFFFFF"/>
              <w:spacing w:line="276" w:lineRule="auto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</w:pPr>
            <w:r w:rsidRPr="00AF2959">
              <w:rPr>
                <w:rFonts w:ascii="Arial Unicode MS" w:eastAsia="Arial Unicode MS" w:hAnsi="Arial Unicode MS" w:cs="Arial Unicode MS"/>
                <w:sz w:val="12"/>
                <w:szCs w:val="12"/>
                <w:lang w:eastAsia="pl-PL"/>
              </w:rPr>
              <w:t>Dane osobowe nie będą przedmiotem zautomatyzowanego podejmowania decyzji, w tym profilowania.</w:t>
            </w:r>
            <w:bookmarkStart w:id="0" w:name="_GoBack"/>
            <w:bookmarkEnd w:id="0"/>
          </w:p>
        </w:tc>
      </w:tr>
    </w:tbl>
    <w:p w:rsidR="009B6D3F" w:rsidRDefault="009B6D3F"/>
    <w:sectPr w:rsidR="009B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EE"/>
    <w:rsid w:val="009B6D3F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851"/>
  <w15:chartTrackingRefBased/>
  <w15:docId w15:val="{7B58747D-4EC1-4B88-9911-19C9AAC1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R">
    <w:name w:val="Rozdział (R)"/>
    <w:basedOn w:val="Normalny"/>
    <w:link w:val="RozdziaRZnak"/>
    <w:qFormat/>
    <w:rsid w:val="00FD66EE"/>
    <w:pPr>
      <w:spacing w:before="360" w:after="360" w:line="240" w:lineRule="auto"/>
      <w:contextualSpacing/>
      <w:jc w:val="center"/>
    </w:pPr>
    <w:rPr>
      <w:rFonts w:ascii="Arial Unicode MS" w:eastAsia="Arial Unicode MS" w:hAnsi="Arial Unicode MS" w:cs="Arial Unicode MS"/>
      <w:b/>
      <w:sz w:val="16"/>
      <w:szCs w:val="16"/>
    </w:rPr>
  </w:style>
  <w:style w:type="character" w:customStyle="1" w:styleId="RozdziaRZnak">
    <w:name w:val="Rozdział (R) Znak"/>
    <w:basedOn w:val="Domylnaczcionkaakapitu"/>
    <w:link w:val="RozdziaR"/>
    <w:rsid w:val="00FD66EE"/>
    <w:rPr>
      <w:rFonts w:ascii="Arial Unicode MS" w:eastAsia="Arial Unicode MS" w:hAnsi="Arial Unicode MS" w:cs="Arial Unicode MS"/>
      <w:b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2026-05-11T08:14:00Z</cp:lastPrinted>
  <dcterms:created xsi:type="dcterms:W3CDTF">2026-05-11T08:11:00Z</dcterms:created>
  <dcterms:modified xsi:type="dcterms:W3CDTF">2026-05-11T08:15:00Z</dcterms:modified>
</cp:coreProperties>
</file>