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1F" w:rsidRDefault="00572ACD" w:rsidP="00572ACD">
      <w:pPr>
        <w:jc w:val="center"/>
        <w:rPr>
          <w:rFonts w:ascii="Times New Roman" w:hAnsi="Times New Roman" w:cs="Times New Roman"/>
          <w:b/>
        </w:rPr>
      </w:pPr>
      <w:r w:rsidRPr="00AD18E0">
        <w:rPr>
          <w:rFonts w:ascii="Times New Roman" w:hAnsi="Times New Roman" w:cs="Times New Roman"/>
          <w:b/>
        </w:rPr>
        <w:t>PRZEDMIOTOWY SYSTEM OCENIANIA Z JĘZYKA ANGIELSKIEGO DLA KLAS 4-8</w:t>
      </w:r>
    </w:p>
    <w:p w:rsidR="00807AA4" w:rsidRDefault="0092285B" w:rsidP="00572A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2025/26</w:t>
      </w:r>
      <w:bookmarkStart w:id="0" w:name="_GoBack"/>
      <w:bookmarkEnd w:id="0"/>
    </w:p>
    <w:p w:rsidR="00AD18E0" w:rsidRPr="00AD18E0" w:rsidRDefault="00AD18E0" w:rsidP="00572ACD">
      <w:pPr>
        <w:jc w:val="center"/>
        <w:rPr>
          <w:rFonts w:ascii="Times New Roman" w:hAnsi="Times New Roman" w:cs="Times New Roman"/>
          <w:b/>
        </w:rPr>
      </w:pPr>
    </w:p>
    <w:p w:rsidR="00572ACD" w:rsidRPr="00AD18E0" w:rsidRDefault="00572ACD" w:rsidP="00572ACD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Przedmiotowy system oceniania z języków obcych jest zgodny z wewnątrzszkolnym systemem oceniania w klasach 4-8 w Szkole Podstawowej im. Szybowników Polskich w Bezmiechowej Dolnej.</w:t>
      </w:r>
    </w:p>
    <w:p w:rsidR="00572ACD" w:rsidRPr="00AD18E0" w:rsidRDefault="00572ACD" w:rsidP="00572A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Formy oceniania</w:t>
      </w:r>
      <w:r w:rsidR="00AD18E0" w:rsidRPr="00AD18E0">
        <w:rPr>
          <w:rFonts w:ascii="Times New Roman" w:hAnsi="Times New Roman" w:cs="Times New Roman"/>
        </w:rPr>
        <w:t xml:space="preserve"> </w:t>
      </w:r>
      <w:r w:rsidRPr="00AD18E0">
        <w:rPr>
          <w:rFonts w:ascii="Times New Roman" w:hAnsi="Times New Roman" w:cs="Times New Roman"/>
        </w:rPr>
        <w:t>:</w:t>
      </w:r>
    </w:p>
    <w:p w:rsidR="00572ACD" w:rsidRPr="00AD18E0" w:rsidRDefault="00572ACD" w:rsidP="00732A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prace klasowe (sprawdziany całogodzinne po każdym rozdziale)</w:t>
      </w:r>
      <w:r w:rsidR="004A1F05">
        <w:rPr>
          <w:rFonts w:ascii="Times New Roman" w:hAnsi="Times New Roman" w:cs="Times New Roman"/>
        </w:rPr>
        <w:t xml:space="preserve"> – waga 3</w:t>
      </w:r>
    </w:p>
    <w:p w:rsidR="00572ACD" w:rsidRPr="00AD18E0" w:rsidRDefault="00572ACD" w:rsidP="00732A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sprawdziany umiejętności czytania i słuchania ze zrozumieniem, oraz pisania.</w:t>
      </w:r>
      <w:r w:rsidR="004A1F05">
        <w:rPr>
          <w:rFonts w:ascii="Times New Roman" w:hAnsi="Times New Roman" w:cs="Times New Roman"/>
        </w:rPr>
        <w:t xml:space="preserve"> – waga 2</w:t>
      </w:r>
    </w:p>
    <w:p w:rsidR="00572ACD" w:rsidRPr="00AD18E0" w:rsidRDefault="00572ACD" w:rsidP="00732A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kartkówki</w:t>
      </w:r>
      <w:r w:rsidR="004A1F05">
        <w:rPr>
          <w:rFonts w:ascii="Times New Roman" w:hAnsi="Times New Roman" w:cs="Times New Roman"/>
        </w:rPr>
        <w:t xml:space="preserve"> – waga 2 i 1</w:t>
      </w:r>
    </w:p>
    <w:p w:rsidR="00572ACD" w:rsidRPr="00AD18E0" w:rsidRDefault="00572ACD" w:rsidP="00732A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odpowiedzi ustne (dialogi, odpowiadanie na pytania nauczyciela w języku angielskim)</w:t>
      </w:r>
      <w:r w:rsidR="004A1F05">
        <w:rPr>
          <w:rFonts w:ascii="Times New Roman" w:hAnsi="Times New Roman" w:cs="Times New Roman"/>
        </w:rPr>
        <w:t xml:space="preserve"> – waga 2</w:t>
      </w:r>
    </w:p>
    <w:p w:rsidR="00572ACD" w:rsidRPr="003E368A" w:rsidRDefault="00572ACD" w:rsidP="003E36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projekty i prezentacje przygotowane w grupach, parach lub samodzielnie</w:t>
      </w:r>
      <w:r w:rsidR="004A1F05">
        <w:rPr>
          <w:rFonts w:ascii="Times New Roman" w:hAnsi="Times New Roman" w:cs="Times New Roman"/>
        </w:rPr>
        <w:t xml:space="preserve"> – waga 1</w:t>
      </w:r>
    </w:p>
    <w:p w:rsidR="00AD18E0" w:rsidRPr="00AD18E0" w:rsidRDefault="00AD18E0" w:rsidP="00732A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aktywność na lekcji – waga 1</w:t>
      </w:r>
    </w:p>
    <w:p w:rsidR="00074484" w:rsidRPr="00AD18E0" w:rsidRDefault="004A1F05" w:rsidP="000744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ma prawo dwa</w:t>
      </w:r>
      <w:r w:rsidR="00074484" w:rsidRPr="00AD18E0">
        <w:rPr>
          <w:rFonts w:ascii="Times New Roman" w:hAnsi="Times New Roman" w:cs="Times New Roman"/>
        </w:rPr>
        <w:t xml:space="preserve"> razy w semestrze, przed rozpoczęciem lekcji zgłosić nieprzygotowanie do lekcji, czyli</w:t>
      </w:r>
      <w:r w:rsidR="00095F55" w:rsidRPr="00AD18E0">
        <w:rPr>
          <w:rFonts w:ascii="Times New Roman" w:hAnsi="Times New Roman" w:cs="Times New Roman"/>
        </w:rPr>
        <w:t xml:space="preserve"> </w:t>
      </w:r>
      <w:proofErr w:type="spellStart"/>
      <w:r w:rsidR="00095F55" w:rsidRPr="00AD18E0">
        <w:rPr>
          <w:rFonts w:ascii="Times New Roman" w:hAnsi="Times New Roman" w:cs="Times New Roman"/>
        </w:rPr>
        <w:t>tzw</w:t>
      </w:r>
      <w:proofErr w:type="spellEnd"/>
      <w:r w:rsidR="00095F55" w:rsidRPr="00AD18E0">
        <w:rPr>
          <w:rFonts w:ascii="Times New Roman" w:hAnsi="Times New Roman" w:cs="Times New Roman"/>
        </w:rPr>
        <w:t xml:space="preserve"> „np.” z wyłączeniem lekcji powtórzeniowej. Za nieprzygotowanie do lekcji r</w:t>
      </w:r>
      <w:r w:rsidR="003E368A">
        <w:rPr>
          <w:rFonts w:ascii="Times New Roman" w:hAnsi="Times New Roman" w:cs="Times New Roman"/>
        </w:rPr>
        <w:t xml:space="preserve">ozumiemy, brak zeszytu ćwiczeń, lub podręcznika, </w:t>
      </w:r>
      <w:r w:rsidR="00095F55" w:rsidRPr="00AD18E0">
        <w:rPr>
          <w:rFonts w:ascii="Times New Roman" w:hAnsi="Times New Roman" w:cs="Times New Roman"/>
        </w:rPr>
        <w:t>brak gotowości do odpowiedzi, bądź do napisania niezapowiedzianej kartkówki, przy czym „np.” zawsze należy zgłaszać przed rozpoczęciem lekcji. Każde nieprzygotowanie jest zapisywane w e-dzienniku, a przekroczenie dozwolonej liczby „np.” skutkuje wpisanie oceny niedostatecznej.</w:t>
      </w:r>
    </w:p>
    <w:p w:rsidR="00095F55" w:rsidRPr="00AD18E0" w:rsidRDefault="00095F55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 xml:space="preserve">Procentowe przeliczenia punktów uzyskanych na sprawdzianie/teście/kartkówce na oceny </w:t>
      </w:r>
    </w:p>
    <w:p w:rsidR="0000372A" w:rsidRPr="00AD18E0" w:rsidRDefault="0000372A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 xml:space="preserve">Od 29% i poniżej </w:t>
      </w:r>
      <w:r w:rsidRPr="00AD18E0">
        <w:rPr>
          <w:rFonts w:ascii="Times New Roman" w:hAnsi="Times New Roman" w:cs="Times New Roman"/>
        </w:rPr>
        <w:tab/>
        <w:t>niedostateczny</w:t>
      </w:r>
    </w:p>
    <w:p w:rsidR="0000372A" w:rsidRPr="00AD18E0" w:rsidRDefault="0000372A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Od 30% do 32%</w:t>
      </w:r>
      <w:r w:rsidRPr="00AD18E0">
        <w:rPr>
          <w:rFonts w:ascii="Times New Roman" w:hAnsi="Times New Roman" w:cs="Times New Roman"/>
        </w:rPr>
        <w:tab/>
        <w:t>+ niedostateczny</w:t>
      </w:r>
    </w:p>
    <w:p w:rsidR="0000372A" w:rsidRPr="00AD18E0" w:rsidRDefault="0000372A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Od 33% do 4</w:t>
      </w:r>
      <w:r w:rsidR="00523C66">
        <w:rPr>
          <w:rFonts w:ascii="Times New Roman" w:hAnsi="Times New Roman" w:cs="Times New Roman"/>
        </w:rPr>
        <w:t>3</w:t>
      </w:r>
      <w:r w:rsidRPr="00AD18E0">
        <w:rPr>
          <w:rFonts w:ascii="Times New Roman" w:hAnsi="Times New Roman" w:cs="Times New Roman"/>
        </w:rPr>
        <w:t xml:space="preserve">% </w:t>
      </w:r>
      <w:r w:rsidRPr="00AD18E0">
        <w:rPr>
          <w:rFonts w:ascii="Times New Roman" w:hAnsi="Times New Roman" w:cs="Times New Roman"/>
        </w:rPr>
        <w:tab/>
        <w:t>dopuszczający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44</w:t>
      </w:r>
      <w:r w:rsidR="0000372A" w:rsidRPr="00AD18E0">
        <w:rPr>
          <w:rFonts w:ascii="Times New Roman" w:hAnsi="Times New Roman" w:cs="Times New Roman"/>
        </w:rPr>
        <w:t>% do 49%</w:t>
      </w:r>
      <w:r w:rsidR="0000372A" w:rsidRPr="00AD18E0">
        <w:rPr>
          <w:rFonts w:ascii="Times New Roman" w:hAnsi="Times New Roman" w:cs="Times New Roman"/>
        </w:rPr>
        <w:tab/>
        <w:t>+ dopuszczający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50% do 63</w:t>
      </w:r>
      <w:r w:rsidR="0000372A" w:rsidRPr="00AD18E0">
        <w:rPr>
          <w:rFonts w:ascii="Times New Roman" w:hAnsi="Times New Roman" w:cs="Times New Roman"/>
        </w:rPr>
        <w:t>%</w:t>
      </w:r>
      <w:r w:rsidR="0000372A" w:rsidRPr="00AD18E0">
        <w:rPr>
          <w:rFonts w:ascii="Times New Roman" w:hAnsi="Times New Roman" w:cs="Times New Roman"/>
        </w:rPr>
        <w:tab/>
        <w:t>dostateczny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64</w:t>
      </w:r>
      <w:r w:rsidR="0000372A" w:rsidRPr="00AD18E0">
        <w:rPr>
          <w:rFonts w:ascii="Times New Roman" w:hAnsi="Times New Roman" w:cs="Times New Roman"/>
        </w:rPr>
        <w:t>% do 69%</w:t>
      </w:r>
      <w:r w:rsidR="0000372A" w:rsidRPr="00AD18E0">
        <w:rPr>
          <w:rFonts w:ascii="Times New Roman" w:hAnsi="Times New Roman" w:cs="Times New Roman"/>
        </w:rPr>
        <w:tab/>
        <w:t>+ dostateczny</w:t>
      </w:r>
    </w:p>
    <w:p w:rsidR="0000372A" w:rsidRPr="00AD18E0" w:rsidRDefault="0000372A" w:rsidP="0000372A">
      <w:pPr>
        <w:tabs>
          <w:tab w:val="left" w:pos="708"/>
          <w:tab w:val="left" w:pos="1416"/>
          <w:tab w:val="left" w:pos="2124"/>
          <w:tab w:val="left" w:pos="3508"/>
        </w:tabs>
        <w:spacing w:before="240" w:line="240" w:lineRule="auto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 xml:space="preserve">Od 70% do 84% </w:t>
      </w:r>
      <w:r w:rsidRPr="00AD18E0">
        <w:rPr>
          <w:rFonts w:ascii="Times New Roman" w:hAnsi="Times New Roman" w:cs="Times New Roman"/>
        </w:rPr>
        <w:tab/>
        <w:t>dobry</w:t>
      </w:r>
      <w:r w:rsidRPr="00AD18E0">
        <w:rPr>
          <w:rFonts w:ascii="Times New Roman" w:hAnsi="Times New Roman" w:cs="Times New Roman"/>
        </w:rPr>
        <w:tab/>
      </w:r>
    </w:p>
    <w:p w:rsidR="0000372A" w:rsidRPr="00AD18E0" w:rsidRDefault="0000372A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 xml:space="preserve">Od 85% do 89% </w:t>
      </w:r>
      <w:r w:rsidRPr="00AD18E0">
        <w:rPr>
          <w:rFonts w:ascii="Times New Roman" w:hAnsi="Times New Roman" w:cs="Times New Roman"/>
        </w:rPr>
        <w:tab/>
        <w:t>+ dobry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90% do 94</w:t>
      </w:r>
      <w:r w:rsidR="0000372A" w:rsidRPr="00AD18E0">
        <w:rPr>
          <w:rFonts w:ascii="Times New Roman" w:hAnsi="Times New Roman" w:cs="Times New Roman"/>
        </w:rPr>
        <w:t xml:space="preserve">% </w:t>
      </w:r>
      <w:r w:rsidR="0000372A" w:rsidRPr="00AD18E0">
        <w:rPr>
          <w:rFonts w:ascii="Times New Roman" w:hAnsi="Times New Roman" w:cs="Times New Roman"/>
        </w:rPr>
        <w:tab/>
        <w:t>bardzo dobry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95% do 97</w:t>
      </w:r>
      <w:r w:rsidR="0000372A" w:rsidRPr="00AD18E0">
        <w:rPr>
          <w:rFonts w:ascii="Times New Roman" w:hAnsi="Times New Roman" w:cs="Times New Roman"/>
        </w:rPr>
        <w:t>%</w:t>
      </w:r>
      <w:r w:rsidR="0000372A" w:rsidRPr="00AD18E0">
        <w:rPr>
          <w:rFonts w:ascii="Times New Roman" w:hAnsi="Times New Roman" w:cs="Times New Roman"/>
        </w:rPr>
        <w:tab/>
        <w:t>+ bardzo dobry</w:t>
      </w:r>
    </w:p>
    <w:p w:rsidR="0000372A" w:rsidRPr="00AD18E0" w:rsidRDefault="00523C66" w:rsidP="0000372A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98</w:t>
      </w:r>
      <w:r w:rsidR="004A1F05">
        <w:rPr>
          <w:rFonts w:ascii="Times New Roman" w:hAnsi="Times New Roman" w:cs="Times New Roman"/>
        </w:rPr>
        <w:t xml:space="preserve"> </w:t>
      </w:r>
      <w:r w:rsidR="0000372A" w:rsidRPr="00AD18E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do 100%</w:t>
      </w:r>
      <w:r w:rsidR="0000372A" w:rsidRPr="00AD18E0">
        <w:rPr>
          <w:rFonts w:ascii="Times New Roman" w:hAnsi="Times New Roman" w:cs="Times New Roman"/>
        </w:rPr>
        <w:tab/>
        <w:t>celujący</w:t>
      </w:r>
    </w:p>
    <w:p w:rsidR="00AD18E0" w:rsidRDefault="00AD18E0" w:rsidP="00074484">
      <w:pPr>
        <w:jc w:val="both"/>
        <w:rPr>
          <w:rFonts w:ascii="Times New Roman" w:hAnsi="Times New Roman" w:cs="Times New Roman"/>
        </w:rPr>
      </w:pPr>
    </w:p>
    <w:p w:rsidR="0000372A" w:rsidRPr="00AD18E0" w:rsidRDefault="0000372A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lastRenderedPageBreak/>
        <w:t>W dzienniku elektronicznym oceny</w:t>
      </w:r>
      <w:r w:rsidR="00412B4A" w:rsidRPr="00AD18E0">
        <w:rPr>
          <w:rFonts w:ascii="Times New Roman" w:hAnsi="Times New Roman" w:cs="Times New Roman"/>
        </w:rPr>
        <w:t xml:space="preserve"> zapisywane są w kolumnach o następujących nazwach i skrótach (kodach):</w:t>
      </w:r>
    </w:p>
    <w:p w:rsidR="00412B4A" w:rsidRPr="00AD18E0" w:rsidRDefault="00412B4A" w:rsidP="00074484">
      <w:pPr>
        <w:jc w:val="both"/>
        <w:rPr>
          <w:rFonts w:ascii="Times New Roman" w:hAnsi="Times New Roman" w:cs="Times New Roman"/>
        </w:rPr>
      </w:pPr>
      <w:proofErr w:type="spellStart"/>
      <w:r w:rsidRPr="00AD18E0">
        <w:rPr>
          <w:rFonts w:ascii="Times New Roman" w:hAnsi="Times New Roman" w:cs="Times New Roman"/>
        </w:rPr>
        <w:t>Spr</w:t>
      </w:r>
      <w:proofErr w:type="spellEnd"/>
      <w:r w:rsidRPr="00AD18E0">
        <w:rPr>
          <w:rFonts w:ascii="Times New Roman" w:hAnsi="Times New Roman" w:cs="Times New Roman"/>
        </w:rPr>
        <w:t xml:space="preserve"> –</w:t>
      </w:r>
      <w:r w:rsidRPr="00AD18E0">
        <w:rPr>
          <w:rFonts w:ascii="Times New Roman" w:hAnsi="Times New Roman" w:cs="Times New Roman"/>
        </w:rPr>
        <w:tab/>
        <w:t>sprawdzian</w:t>
      </w:r>
    </w:p>
    <w:p w:rsidR="00412B4A" w:rsidRPr="00AD18E0" w:rsidRDefault="00412B4A" w:rsidP="00074484">
      <w:pPr>
        <w:jc w:val="both"/>
        <w:rPr>
          <w:rFonts w:ascii="Times New Roman" w:hAnsi="Times New Roman" w:cs="Times New Roman"/>
        </w:rPr>
      </w:pPr>
      <w:proofErr w:type="spellStart"/>
      <w:r w:rsidRPr="00AD18E0">
        <w:rPr>
          <w:rFonts w:ascii="Times New Roman" w:hAnsi="Times New Roman" w:cs="Times New Roman"/>
        </w:rPr>
        <w:t>Krt</w:t>
      </w:r>
      <w:proofErr w:type="spellEnd"/>
      <w:r w:rsidRPr="00AD18E0">
        <w:rPr>
          <w:rFonts w:ascii="Times New Roman" w:hAnsi="Times New Roman" w:cs="Times New Roman"/>
        </w:rPr>
        <w:t xml:space="preserve"> –</w:t>
      </w:r>
      <w:r w:rsidRPr="00AD18E0">
        <w:rPr>
          <w:rFonts w:ascii="Times New Roman" w:hAnsi="Times New Roman" w:cs="Times New Roman"/>
        </w:rPr>
        <w:tab/>
        <w:t>kartkówka</w:t>
      </w:r>
    </w:p>
    <w:p w:rsidR="00412B4A" w:rsidRPr="00AD18E0" w:rsidRDefault="00412B4A" w:rsidP="00074484">
      <w:pPr>
        <w:jc w:val="both"/>
        <w:rPr>
          <w:rFonts w:ascii="Times New Roman" w:hAnsi="Times New Roman" w:cs="Times New Roman"/>
        </w:rPr>
      </w:pPr>
      <w:proofErr w:type="spellStart"/>
      <w:r w:rsidRPr="00AD18E0">
        <w:rPr>
          <w:rFonts w:ascii="Times New Roman" w:hAnsi="Times New Roman" w:cs="Times New Roman"/>
        </w:rPr>
        <w:t>Odp</w:t>
      </w:r>
      <w:proofErr w:type="spellEnd"/>
      <w:r w:rsidRPr="00AD18E0">
        <w:rPr>
          <w:rFonts w:ascii="Times New Roman" w:hAnsi="Times New Roman" w:cs="Times New Roman"/>
        </w:rPr>
        <w:t xml:space="preserve"> – </w:t>
      </w:r>
      <w:r w:rsidRPr="00AD18E0">
        <w:rPr>
          <w:rFonts w:ascii="Times New Roman" w:hAnsi="Times New Roman" w:cs="Times New Roman"/>
        </w:rPr>
        <w:tab/>
        <w:t>odpowiedź ustna</w:t>
      </w:r>
    </w:p>
    <w:p w:rsidR="00412B4A" w:rsidRPr="00AD18E0" w:rsidRDefault="00187E14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Pro -</w:t>
      </w:r>
      <w:r w:rsidRPr="00AD18E0">
        <w:rPr>
          <w:rFonts w:ascii="Times New Roman" w:hAnsi="Times New Roman" w:cs="Times New Roman"/>
        </w:rPr>
        <w:tab/>
        <w:t>projekt</w:t>
      </w:r>
    </w:p>
    <w:p w:rsidR="00187E14" w:rsidRPr="00AD18E0" w:rsidRDefault="00187E14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Pis -</w:t>
      </w:r>
      <w:r w:rsidRPr="00AD18E0">
        <w:rPr>
          <w:rFonts w:ascii="Times New Roman" w:hAnsi="Times New Roman" w:cs="Times New Roman"/>
        </w:rPr>
        <w:tab/>
        <w:t>wypowiedź pisemna</w:t>
      </w:r>
    </w:p>
    <w:p w:rsidR="00187E14" w:rsidRPr="00AD18E0" w:rsidRDefault="00187E14" w:rsidP="00074484">
      <w:pPr>
        <w:jc w:val="both"/>
        <w:rPr>
          <w:rFonts w:ascii="Times New Roman" w:hAnsi="Times New Roman" w:cs="Times New Roman"/>
        </w:rPr>
      </w:pPr>
      <w:proofErr w:type="spellStart"/>
      <w:r w:rsidRPr="00AD18E0">
        <w:rPr>
          <w:rFonts w:ascii="Times New Roman" w:hAnsi="Times New Roman" w:cs="Times New Roman"/>
        </w:rPr>
        <w:t>Słu</w:t>
      </w:r>
      <w:proofErr w:type="spellEnd"/>
      <w:r w:rsidRPr="00AD18E0">
        <w:rPr>
          <w:rFonts w:ascii="Times New Roman" w:hAnsi="Times New Roman" w:cs="Times New Roman"/>
        </w:rPr>
        <w:t xml:space="preserve"> -</w:t>
      </w:r>
      <w:r w:rsidRPr="00AD18E0">
        <w:rPr>
          <w:rFonts w:ascii="Times New Roman" w:hAnsi="Times New Roman" w:cs="Times New Roman"/>
        </w:rPr>
        <w:tab/>
        <w:t>sprawdzian ze słuchania ze zrozumieniem</w:t>
      </w:r>
    </w:p>
    <w:p w:rsidR="00187E14" w:rsidRPr="00AD18E0" w:rsidRDefault="00187E14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 xml:space="preserve">Czy - </w:t>
      </w:r>
      <w:r w:rsidRPr="00AD18E0">
        <w:rPr>
          <w:rFonts w:ascii="Times New Roman" w:hAnsi="Times New Roman" w:cs="Times New Roman"/>
        </w:rPr>
        <w:tab/>
        <w:t>sprawdzian z czytania ze zrozumieniem</w:t>
      </w:r>
    </w:p>
    <w:p w:rsidR="00605074" w:rsidRPr="00AD18E0" w:rsidRDefault="00187E14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Akt -</w:t>
      </w:r>
      <w:r w:rsidRPr="00AD18E0">
        <w:rPr>
          <w:rFonts w:ascii="Times New Roman" w:hAnsi="Times New Roman" w:cs="Times New Roman"/>
        </w:rPr>
        <w:tab/>
        <w:t>aktywność na lekcji</w:t>
      </w:r>
    </w:p>
    <w:p w:rsidR="00605074" w:rsidRPr="00AD18E0" w:rsidRDefault="00605074" w:rsidP="00074484">
      <w:p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Ocena semestralna wynika z obliczeń dziennika elektronicznego i dotyczy wszystkich ocen otrzymanych w ciągu semestru zgodnie z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605074" w:rsidRPr="00AD18E0" w:rsidTr="00605074">
        <w:tc>
          <w:tcPr>
            <w:tcW w:w="4606" w:type="dxa"/>
          </w:tcPr>
          <w:p w:rsidR="00605074" w:rsidRPr="00AD18E0" w:rsidRDefault="00605074" w:rsidP="00605074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4606" w:type="dxa"/>
          </w:tcPr>
          <w:p w:rsidR="00605074" w:rsidRPr="00AD18E0" w:rsidRDefault="00605074" w:rsidP="00605074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ocena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605074" w:rsidP="00074484">
            <w:pPr>
              <w:jc w:val="both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Poniżej 1,6</w:t>
            </w:r>
          </w:p>
        </w:tc>
        <w:tc>
          <w:tcPr>
            <w:tcW w:w="4606" w:type="dxa"/>
          </w:tcPr>
          <w:p w:rsidR="00605074" w:rsidRPr="00AD18E0" w:rsidRDefault="00605074" w:rsidP="00605074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1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640BD4" w:rsidP="00074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1,6</w:t>
            </w:r>
            <w:r w:rsidR="00605074" w:rsidRPr="00AD18E0">
              <w:rPr>
                <w:rFonts w:ascii="Times New Roman" w:hAnsi="Times New Roman" w:cs="Times New Roman"/>
              </w:rPr>
              <w:t xml:space="preserve"> d</w:t>
            </w:r>
            <w:r w:rsidR="00B72078" w:rsidRPr="00AD18E0">
              <w:rPr>
                <w:rFonts w:ascii="Times New Roman" w:hAnsi="Times New Roman" w:cs="Times New Roman"/>
              </w:rPr>
              <w:t>o</w:t>
            </w:r>
            <w:r w:rsidR="00605074" w:rsidRPr="00AD18E0">
              <w:rPr>
                <w:rFonts w:ascii="Times New Roman" w:hAnsi="Times New Roman" w:cs="Times New Roman"/>
              </w:rPr>
              <w:t xml:space="preserve"> </w:t>
            </w:r>
            <w:r w:rsidR="00F62311" w:rsidRPr="00AD18E0">
              <w:rPr>
                <w:rFonts w:ascii="Times New Roman" w:hAnsi="Times New Roman" w:cs="Times New Roman"/>
              </w:rPr>
              <w:t>poniżej 2,7</w:t>
            </w:r>
          </w:p>
        </w:tc>
        <w:tc>
          <w:tcPr>
            <w:tcW w:w="4606" w:type="dxa"/>
          </w:tcPr>
          <w:p w:rsidR="00605074" w:rsidRPr="00AD18E0" w:rsidRDefault="00605074" w:rsidP="005416DE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2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605074" w:rsidP="00074484">
            <w:pPr>
              <w:jc w:val="both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Od 2,7 do</w:t>
            </w:r>
            <w:r w:rsidR="00B72078" w:rsidRPr="00AD18E0">
              <w:rPr>
                <w:rFonts w:ascii="Times New Roman" w:hAnsi="Times New Roman" w:cs="Times New Roman"/>
              </w:rPr>
              <w:t xml:space="preserve"> </w:t>
            </w:r>
            <w:r w:rsidR="00F62311" w:rsidRPr="00AD18E0">
              <w:rPr>
                <w:rFonts w:ascii="Times New Roman" w:hAnsi="Times New Roman" w:cs="Times New Roman"/>
              </w:rPr>
              <w:t>poniżej 3,7</w:t>
            </w:r>
          </w:p>
        </w:tc>
        <w:tc>
          <w:tcPr>
            <w:tcW w:w="4606" w:type="dxa"/>
          </w:tcPr>
          <w:p w:rsidR="00605074" w:rsidRPr="00AD18E0" w:rsidRDefault="005416DE" w:rsidP="005416DE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3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B72078" w:rsidP="00074484">
            <w:pPr>
              <w:jc w:val="both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 xml:space="preserve">Od </w:t>
            </w:r>
            <w:r w:rsidR="00F62311" w:rsidRPr="00AD18E0">
              <w:rPr>
                <w:rFonts w:ascii="Times New Roman" w:hAnsi="Times New Roman" w:cs="Times New Roman"/>
              </w:rPr>
              <w:t>3,7 do poniżej 4,7</w:t>
            </w:r>
          </w:p>
        </w:tc>
        <w:tc>
          <w:tcPr>
            <w:tcW w:w="4606" w:type="dxa"/>
          </w:tcPr>
          <w:p w:rsidR="00605074" w:rsidRPr="00AD18E0" w:rsidRDefault="005416DE" w:rsidP="005416DE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4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B72078" w:rsidP="00074484">
            <w:pPr>
              <w:jc w:val="both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 xml:space="preserve">Od </w:t>
            </w:r>
            <w:r w:rsidR="00F62311" w:rsidRPr="00AD18E0">
              <w:rPr>
                <w:rFonts w:ascii="Times New Roman" w:hAnsi="Times New Roman" w:cs="Times New Roman"/>
              </w:rPr>
              <w:t>4,7 do poniżej 5,5</w:t>
            </w:r>
          </w:p>
        </w:tc>
        <w:tc>
          <w:tcPr>
            <w:tcW w:w="4606" w:type="dxa"/>
          </w:tcPr>
          <w:p w:rsidR="00605074" w:rsidRPr="00AD18E0" w:rsidRDefault="005416DE" w:rsidP="005416DE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5</w:t>
            </w:r>
          </w:p>
        </w:tc>
      </w:tr>
      <w:tr w:rsidR="00605074" w:rsidRPr="00AD18E0" w:rsidTr="00605074">
        <w:tc>
          <w:tcPr>
            <w:tcW w:w="4606" w:type="dxa"/>
          </w:tcPr>
          <w:p w:rsidR="00605074" w:rsidRPr="00AD18E0" w:rsidRDefault="005416DE" w:rsidP="00074484">
            <w:pPr>
              <w:jc w:val="both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Od 5,5</w:t>
            </w:r>
          </w:p>
        </w:tc>
        <w:tc>
          <w:tcPr>
            <w:tcW w:w="4606" w:type="dxa"/>
          </w:tcPr>
          <w:p w:rsidR="00605074" w:rsidRPr="00AD18E0" w:rsidRDefault="005416DE" w:rsidP="005416DE">
            <w:pPr>
              <w:jc w:val="center"/>
              <w:rPr>
                <w:rFonts w:ascii="Times New Roman" w:hAnsi="Times New Roman" w:cs="Times New Roman"/>
              </w:rPr>
            </w:pPr>
            <w:r w:rsidRPr="00AD18E0">
              <w:rPr>
                <w:rFonts w:ascii="Times New Roman" w:hAnsi="Times New Roman" w:cs="Times New Roman"/>
              </w:rPr>
              <w:t>6</w:t>
            </w:r>
          </w:p>
        </w:tc>
      </w:tr>
    </w:tbl>
    <w:p w:rsidR="00605074" w:rsidRPr="00AD18E0" w:rsidRDefault="00605074" w:rsidP="00074484">
      <w:pPr>
        <w:jc w:val="both"/>
        <w:rPr>
          <w:rFonts w:ascii="Times New Roman" w:hAnsi="Times New Roman" w:cs="Times New Roman"/>
        </w:rPr>
      </w:pPr>
    </w:p>
    <w:p w:rsidR="00572ACD" w:rsidRPr="00AD18E0" w:rsidRDefault="005416DE" w:rsidP="005416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System motywacyjny (czynniki wpływające na podniesienie oceny śródrocznej i rocznej):</w:t>
      </w:r>
    </w:p>
    <w:p w:rsidR="005416DE" w:rsidRPr="00AD18E0" w:rsidRDefault="005416DE" w:rsidP="005416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Wykonywanie dodatkowych zadań</w:t>
      </w:r>
    </w:p>
    <w:p w:rsidR="005416DE" w:rsidRPr="00AD18E0" w:rsidRDefault="00732A37" w:rsidP="005416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Szczególna aktywność na lekcji nagradzana plusami (pięć plusów to ocena bardzo dobra)</w:t>
      </w:r>
    </w:p>
    <w:p w:rsidR="00732A37" w:rsidRPr="00AD18E0" w:rsidRDefault="00732A37" w:rsidP="005416D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Osiągnięcia w konkursach szkolnych i pozaszkolnych</w:t>
      </w:r>
    </w:p>
    <w:p w:rsidR="00A71F46" w:rsidRPr="00AD18E0" w:rsidRDefault="00A71F46" w:rsidP="00A71F46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A71F46" w:rsidRPr="00AD18E0" w:rsidRDefault="00A71F46" w:rsidP="00A71F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Zasady poprawiania stopni:</w:t>
      </w:r>
    </w:p>
    <w:p w:rsidR="005B6F0B" w:rsidRPr="00AD18E0" w:rsidRDefault="005B6F0B" w:rsidP="005B6F0B">
      <w:pPr>
        <w:pStyle w:val="Akapitzlist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Uczeń ma prawo poprawić ocenę ze sprawdzianu pisemnego (całogodzinnego). Poprawa jest dobrowolna, odbywa się w formie i terminie ustalonym przez nauczyciela, nie później niż tydzień po poprawie sprawdzianu. Na koniec półrocza i roku szkolnego nie przewiduje się zaliczania materiału i poprawiania ocen</w:t>
      </w:r>
      <w:r w:rsidR="00550924" w:rsidRPr="00AD18E0">
        <w:rPr>
          <w:rFonts w:ascii="Times New Roman" w:hAnsi="Times New Roman" w:cs="Times New Roman"/>
        </w:rPr>
        <w:t xml:space="preserve"> w celu podwyższenia stopnia.</w:t>
      </w:r>
    </w:p>
    <w:p w:rsidR="00550924" w:rsidRPr="00AD18E0" w:rsidRDefault="00550924" w:rsidP="005509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Sposób udostępniania rodzicom prac kontrolnych:</w:t>
      </w:r>
    </w:p>
    <w:p w:rsidR="00DF5BF4" w:rsidRPr="00AD18E0" w:rsidRDefault="00A35ED1" w:rsidP="00A35ED1">
      <w:pPr>
        <w:pStyle w:val="Akapitzlist"/>
        <w:jc w:val="both"/>
        <w:rPr>
          <w:rFonts w:ascii="Times New Roman" w:hAnsi="Times New Roman" w:cs="Times New Roman"/>
        </w:rPr>
      </w:pPr>
      <w:r w:rsidRPr="00AD18E0">
        <w:rPr>
          <w:rFonts w:ascii="Times New Roman" w:hAnsi="Times New Roman" w:cs="Times New Roman"/>
        </w:rPr>
        <w:t>Prace klasowe (całogodzinne) udostępniane są na prośbę rodziców w obecności nauczyciela danego przedmiotu w trakcie jego dyżuru konsultacyjnego, lub po indywidualnym ustaleniu terminu spotkania.</w:t>
      </w:r>
    </w:p>
    <w:p w:rsidR="00EC3888" w:rsidRPr="00AD18E0" w:rsidRDefault="00EC3888" w:rsidP="00A35ED1">
      <w:pPr>
        <w:pStyle w:val="Akapitzlist"/>
        <w:jc w:val="both"/>
        <w:rPr>
          <w:rFonts w:ascii="Times New Roman" w:hAnsi="Times New Roman" w:cs="Times New Roman"/>
        </w:rPr>
      </w:pPr>
    </w:p>
    <w:sectPr w:rsidR="00EC3888" w:rsidRPr="00AD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A8"/>
    <w:multiLevelType w:val="hybridMultilevel"/>
    <w:tmpl w:val="0E5AF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1576F"/>
    <w:multiLevelType w:val="hybridMultilevel"/>
    <w:tmpl w:val="ECEA7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8B74FB"/>
    <w:multiLevelType w:val="hybridMultilevel"/>
    <w:tmpl w:val="0A20D3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7256140"/>
    <w:multiLevelType w:val="hybridMultilevel"/>
    <w:tmpl w:val="571E97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CD"/>
    <w:rsid w:val="0000372A"/>
    <w:rsid w:val="00074484"/>
    <w:rsid w:val="00095F55"/>
    <w:rsid w:val="00187E14"/>
    <w:rsid w:val="003E368A"/>
    <w:rsid w:val="00412B4A"/>
    <w:rsid w:val="004A1F05"/>
    <w:rsid w:val="00523C66"/>
    <w:rsid w:val="005416DE"/>
    <w:rsid w:val="00550924"/>
    <w:rsid w:val="00572ACD"/>
    <w:rsid w:val="005B6F0B"/>
    <w:rsid w:val="00605074"/>
    <w:rsid w:val="00640BD4"/>
    <w:rsid w:val="006556C8"/>
    <w:rsid w:val="00732A37"/>
    <w:rsid w:val="00807AA4"/>
    <w:rsid w:val="0092285B"/>
    <w:rsid w:val="00A27D1F"/>
    <w:rsid w:val="00A35ED1"/>
    <w:rsid w:val="00A71F46"/>
    <w:rsid w:val="00AD18E0"/>
    <w:rsid w:val="00B72078"/>
    <w:rsid w:val="00DF5BF4"/>
    <w:rsid w:val="00EC3888"/>
    <w:rsid w:val="00F62311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D33F"/>
  <w15:docId w15:val="{42851D56-A3AC-4D48-A8ED-BFED11A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ACD"/>
    <w:pPr>
      <w:ind w:left="720"/>
      <w:contextualSpacing/>
    </w:pPr>
  </w:style>
  <w:style w:type="table" w:styleId="Tabela-Siatka">
    <w:name w:val="Table Grid"/>
    <w:basedOn w:val="Standardowy"/>
    <w:uiPriority w:val="59"/>
    <w:rsid w:val="0060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456B-EB9B-4FF3-8D95-0675E9CB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Lucyna Matuszewska</cp:lastModifiedBy>
  <cp:revision>2</cp:revision>
  <cp:lastPrinted>2021-10-18T14:15:00Z</cp:lastPrinted>
  <dcterms:created xsi:type="dcterms:W3CDTF">2025-10-02T11:18:00Z</dcterms:created>
  <dcterms:modified xsi:type="dcterms:W3CDTF">2025-10-02T11:18:00Z</dcterms:modified>
</cp:coreProperties>
</file>